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D2" w:rsidRDefault="00860E34" w:rsidP="002614D2">
      <w:r>
        <w:rPr>
          <w:noProof/>
          <w:lang w:eastAsia="en-GB"/>
        </w:rPr>
        <w:pict>
          <v:shapetype id="_x0000_t202" coordsize="21600,21600" o:spt="202" path="m,l,21600r21600,l21600,xe">
            <v:stroke joinstyle="miter"/>
            <v:path gradientshapeok="t" o:connecttype="rect"/>
          </v:shapetype>
          <v:shape id="_x0000_s1026" type="#_x0000_t202" style="position:absolute;margin-left:331.5pt;margin-top:-24.75pt;width:215.25pt;height:41.25pt;z-index:251658240" stroked="f">
            <v:textbox style="mso-next-textbox:#_x0000_s1026">
              <w:txbxContent>
                <w:p w:rsidR="00AD6265" w:rsidRDefault="00AD6265">
                  <w:r w:rsidRPr="002614D2">
                    <w:rPr>
                      <w:noProof/>
                      <w:lang w:eastAsia="en-GB"/>
                    </w:rPr>
                    <w:drawing>
                      <wp:inline distT="0" distB="0" distL="0" distR="0">
                        <wp:extent cx="2541270" cy="402884"/>
                        <wp:effectExtent l="19050" t="0" r="0" b="0"/>
                        <wp:docPr id="2" name="Picture 1" descr="Picture of th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Trust logo"/>
                                <pic:cNvPicPr>
                                  <a:picLocks noChangeAspect="1" noChangeArrowheads="1"/>
                                </pic:cNvPicPr>
                              </pic:nvPicPr>
                              <pic:blipFill>
                                <a:blip r:embed="rId5"/>
                                <a:srcRect/>
                                <a:stretch>
                                  <a:fillRect/>
                                </a:stretch>
                              </pic:blipFill>
                              <pic:spPr bwMode="auto">
                                <a:xfrm>
                                  <a:off x="0" y="0"/>
                                  <a:ext cx="2541270" cy="402884"/>
                                </a:xfrm>
                                <a:prstGeom prst="rect">
                                  <a:avLst/>
                                </a:prstGeom>
                                <a:noFill/>
                                <a:ln w="9525">
                                  <a:noFill/>
                                  <a:miter lim="800000"/>
                                  <a:headEnd/>
                                  <a:tailEnd/>
                                </a:ln>
                              </pic:spPr>
                            </pic:pic>
                          </a:graphicData>
                        </a:graphic>
                      </wp:inline>
                    </w:drawing>
                  </w:r>
                </w:p>
              </w:txbxContent>
            </v:textbox>
          </v:shape>
        </w:pict>
      </w:r>
    </w:p>
    <w:p w:rsidR="002614D2" w:rsidRDefault="002614D2" w:rsidP="002614D2">
      <w:pPr>
        <w:jc w:val="right"/>
        <w:rPr>
          <w:color w:val="4F81BD" w:themeColor="accent1"/>
          <w:sz w:val="32"/>
          <w:szCs w:val="32"/>
        </w:rPr>
      </w:pPr>
      <w:r>
        <w:rPr>
          <w:noProof/>
          <w:color w:val="4F81BD" w:themeColor="accent1"/>
          <w:sz w:val="32"/>
          <w:szCs w:val="32"/>
          <w:lang w:eastAsia="en-GB"/>
        </w:rPr>
        <w:drawing>
          <wp:anchor distT="36576" distB="36576" distL="36576" distR="36576" simplePos="0" relativeHeight="251660288" behindDoc="0" locked="0" layoutInCell="1" allowOverlap="1">
            <wp:simplePos x="0" y="0"/>
            <wp:positionH relativeFrom="column">
              <wp:posOffset>1885950</wp:posOffset>
            </wp:positionH>
            <wp:positionV relativeFrom="paragraph">
              <wp:posOffset>257810</wp:posOffset>
            </wp:positionV>
            <wp:extent cx="2800350" cy="363855"/>
            <wp:effectExtent l="19050" t="19050" r="19050" b="1714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800350" cy="363855"/>
                    </a:xfrm>
                    <a:prstGeom prst="rect">
                      <a:avLst/>
                    </a:prstGeom>
                    <a:noFill/>
                    <a:ln w="6350" algn="in">
                      <a:solidFill>
                        <a:srgbClr val="FFFFFF"/>
                      </a:solidFill>
                      <a:miter lim="800000"/>
                      <a:headEnd/>
                      <a:tailEnd/>
                    </a:ln>
                  </pic:spPr>
                </pic:pic>
              </a:graphicData>
            </a:graphic>
          </wp:anchor>
        </w:drawing>
      </w:r>
      <w:r w:rsidRPr="002614D2">
        <w:rPr>
          <w:color w:val="4F81BD" w:themeColor="accent1"/>
          <w:sz w:val="32"/>
          <w:szCs w:val="32"/>
        </w:rPr>
        <w:t>Library &amp; Information Services</w:t>
      </w:r>
    </w:p>
    <w:p w:rsidR="002614D2" w:rsidRDefault="002614D2" w:rsidP="002614D2">
      <w:pPr>
        <w:widowControl w:val="0"/>
        <w:jc w:val="both"/>
        <w:rPr>
          <w:rFonts w:ascii="Arial" w:hAnsi="Arial" w:cs="Arial"/>
          <w:b/>
          <w:bCs/>
        </w:rPr>
      </w:pPr>
    </w:p>
    <w:p w:rsidR="002614D2" w:rsidRDefault="002614D2" w:rsidP="002614D2">
      <w:pPr>
        <w:widowControl w:val="0"/>
        <w:jc w:val="both"/>
        <w:rPr>
          <w:rFonts w:ascii="Arial" w:hAnsi="Arial" w:cs="Arial"/>
        </w:rPr>
      </w:pPr>
      <w:r>
        <w:rPr>
          <w:rFonts w:ascii="Arial" w:hAnsi="Arial" w:cs="Arial"/>
          <w:b/>
          <w:bCs/>
        </w:rPr>
        <w:t xml:space="preserve">What is it? </w:t>
      </w:r>
      <w:r>
        <w:rPr>
          <w:rFonts w:ascii="Arial" w:hAnsi="Arial" w:cs="Arial"/>
        </w:rPr>
        <w:t xml:space="preserve">KnowledgeShare is our targeted current awareness service. Whenever we find high impact documents in your area, we’ll let you know. </w:t>
      </w:r>
    </w:p>
    <w:p w:rsidR="002614D2" w:rsidRDefault="002614D2" w:rsidP="002614D2">
      <w:pPr>
        <w:widowControl w:val="0"/>
        <w:jc w:val="both"/>
        <w:rPr>
          <w:rFonts w:ascii="Arial" w:hAnsi="Arial" w:cs="Arial"/>
        </w:rPr>
      </w:pPr>
      <w:r>
        <w:rPr>
          <w:rFonts w:ascii="Arial" w:hAnsi="Arial" w:cs="Arial"/>
          <w:b/>
          <w:bCs/>
        </w:rPr>
        <w:t xml:space="preserve">Why use it? </w:t>
      </w:r>
      <w:r>
        <w:rPr>
          <w:rFonts w:ascii="Arial" w:hAnsi="Arial" w:cs="Arial"/>
        </w:rPr>
        <w:t xml:space="preserve">We give you the latest high-level evidence in your field. </w:t>
      </w:r>
    </w:p>
    <w:p w:rsidR="002614D2" w:rsidRDefault="002614D2" w:rsidP="007C05C6">
      <w:pPr>
        <w:widowControl w:val="0"/>
        <w:spacing w:after="0"/>
        <w:rPr>
          <w:rFonts w:ascii="Arial" w:hAnsi="Arial" w:cs="Arial"/>
        </w:rPr>
      </w:pPr>
      <w:r>
        <w:rPr>
          <w:rFonts w:ascii="Arial" w:hAnsi="Arial" w:cs="Arial"/>
          <w:b/>
          <w:bCs/>
        </w:rPr>
        <w:t xml:space="preserve">How does it work? </w:t>
      </w:r>
      <w:r>
        <w:rPr>
          <w:rFonts w:ascii="Arial" w:hAnsi="Arial" w:cs="Arial"/>
        </w:rPr>
        <w:t>Your KnowledgeShare profile is created to be as broad or as specific as you need. For example, you could receive everything published on obstetrics or limit to receive items related to gestational diabetes.</w:t>
      </w:r>
    </w:p>
    <w:p w:rsidR="00BD3F53" w:rsidRDefault="002614D2" w:rsidP="00BD3F53">
      <w:pPr>
        <w:pStyle w:val="NoSpacing"/>
        <w:rPr>
          <w:rFonts w:ascii="Arial" w:hAnsi="Arial" w:cs="Arial"/>
          <w:color w:val="000000"/>
          <w:kern w:val="28"/>
          <w:sz w:val="20"/>
          <w:szCs w:val="20"/>
        </w:rPr>
      </w:pPr>
      <w:r w:rsidRPr="00576E33">
        <w:rPr>
          <w:rFonts w:ascii="Arial" w:hAnsi="Arial" w:cs="Arial"/>
          <w:color w:val="000000"/>
          <w:kern w:val="28"/>
          <w:sz w:val="20"/>
          <w:szCs w:val="20"/>
        </w:rPr>
        <w:t xml:space="preserve">*You must be a library member </w:t>
      </w:r>
      <w:r w:rsidR="00432687">
        <w:rPr>
          <w:rFonts w:ascii="Arial" w:hAnsi="Arial" w:cs="Arial"/>
          <w:color w:val="000000"/>
          <w:kern w:val="28"/>
          <w:sz w:val="20"/>
          <w:szCs w:val="20"/>
        </w:rPr>
        <w:t>&amp;</w:t>
      </w:r>
      <w:r w:rsidRPr="00576E33">
        <w:rPr>
          <w:rFonts w:ascii="Arial" w:hAnsi="Arial" w:cs="Arial"/>
          <w:color w:val="000000"/>
          <w:kern w:val="28"/>
          <w:sz w:val="20"/>
          <w:szCs w:val="20"/>
        </w:rPr>
        <w:t xml:space="preserve"> have an NHS OpenAthens account to receive current awareness. </w:t>
      </w:r>
    </w:p>
    <w:p w:rsidR="00BD3F53" w:rsidRDefault="00BD3F53" w:rsidP="00BD3F53">
      <w:pPr>
        <w:pStyle w:val="NoSpacing"/>
        <w:rPr>
          <w:rFonts w:ascii="Arial" w:hAnsi="Arial" w:cs="Arial"/>
          <w:sz w:val="24"/>
          <w:szCs w:val="24"/>
        </w:rPr>
      </w:pPr>
      <w:r>
        <w:t xml:space="preserve"> </w:t>
      </w:r>
      <w:r w:rsidRPr="00BD3F53">
        <w:rPr>
          <w:rFonts w:asciiTheme="minorHAnsi" w:hAnsiTheme="minorHAnsi" w:cstheme="minorHAnsi"/>
        </w:rPr>
        <w:t xml:space="preserve">To register go to </w:t>
      </w:r>
      <w:hyperlink r:id="rId7" w:history="1">
        <w:r w:rsidRPr="00BD3F53">
          <w:rPr>
            <w:rStyle w:val="Hyperlink"/>
            <w:rFonts w:asciiTheme="minorHAnsi" w:hAnsiTheme="minorHAnsi" w:cstheme="minorHAnsi"/>
          </w:rPr>
          <w:t>http://www.eel.nhs.uk</w:t>
        </w:r>
      </w:hyperlink>
      <w:r w:rsidRPr="00BD3F53">
        <w:rPr>
          <w:rFonts w:asciiTheme="minorHAnsi" w:hAnsiTheme="minorHAnsi" w:cstheme="minorHAnsi"/>
        </w:rPr>
        <w:t xml:space="preserve"> and select the link to register.</w:t>
      </w:r>
    </w:p>
    <w:p w:rsidR="00EB33BC" w:rsidRDefault="00EB33BC" w:rsidP="00432687">
      <w:pPr>
        <w:widowControl w:val="0"/>
        <w:spacing w:after="0"/>
        <w:ind w:left="14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386"/>
      </w:tblGrid>
      <w:tr w:rsidR="00EB33BC" w:rsidRPr="00166F97" w:rsidTr="00EB33BC">
        <w:tc>
          <w:tcPr>
            <w:tcW w:w="10314" w:type="dxa"/>
            <w:gridSpan w:val="2"/>
          </w:tcPr>
          <w:p w:rsidR="00EB33BC" w:rsidRPr="00166F97" w:rsidRDefault="00EB33BC" w:rsidP="00AD6265">
            <w:pPr>
              <w:rPr>
                <w:rFonts w:ascii="Arial" w:hAnsi="Arial" w:cs="Arial"/>
                <w:color w:val="000000"/>
                <w:kern w:val="28"/>
                <w:sz w:val="20"/>
                <w:szCs w:val="20"/>
              </w:rPr>
            </w:pPr>
            <w:r w:rsidRPr="00166F97">
              <w:rPr>
                <w:b/>
              </w:rPr>
              <w:t>Name</w:t>
            </w:r>
          </w:p>
          <w:p w:rsidR="00EB33BC" w:rsidRPr="00166F97" w:rsidRDefault="00EB33BC" w:rsidP="00AD6265">
            <w:pPr>
              <w:rPr>
                <w:rFonts w:ascii="Arial" w:hAnsi="Arial" w:cs="Arial"/>
                <w:color w:val="000000"/>
                <w:kern w:val="28"/>
                <w:sz w:val="20"/>
                <w:szCs w:val="20"/>
              </w:rPr>
            </w:pPr>
          </w:p>
        </w:tc>
      </w:tr>
      <w:tr w:rsidR="00EB33BC" w:rsidRPr="00166F97" w:rsidTr="00EB33BC">
        <w:tc>
          <w:tcPr>
            <w:tcW w:w="4928" w:type="dxa"/>
          </w:tcPr>
          <w:p w:rsidR="00EB33BC" w:rsidRPr="00166F97" w:rsidRDefault="00EB33BC" w:rsidP="00AD6265">
            <w:pPr>
              <w:rPr>
                <w:rFonts w:ascii="Arial" w:hAnsi="Arial" w:cs="Arial"/>
                <w:color w:val="000000"/>
                <w:kern w:val="28"/>
                <w:sz w:val="20"/>
                <w:szCs w:val="20"/>
              </w:rPr>
            </w:pPr>
            <w:r w:rsidRPr="00166F97">
              <w:rPr>
                <w:b/>
              </w:rPr>
              <w:t>Job title</w:t>
            </w:r>
          </w:p>
        </w:tc>
        <w:tc>
          <w:tcPr>
            <w:tcW w:w="5386" w:type="dxa"/>
          </w:tcPr>
          <w:p w:rsidR="00EB33BC" w:rsidRPr="00166F97" w:rsidRDefault="00EB33BC" w:rsidP="00AD6265">
            <w:pPr>
              <w:rPr>
                <w:rFonts w:ascii="Arial" w:hAnsi="Arial" w:cs="Arial"/>
                <w:color w:val="000000"/>
                <w:kern w:val="28"/>
                <w:sz w:val="20"/>
                <w:szCs w:val="20"/>
              </w:rPr>
            </w:pPr>
            <w:r w:rsidRPr="00166F97">
              <w:rPr>
                <w:b/>
              </w:rPr>
              <w:t>Department</w:t>
            </w:r>
          </w:p>
        </w:tc>
      </w:tr>
      <w:tr w:rsidR="00EB33BC" w:rsidRPr="00166F97" w:rsidTr="00EB33BC">
        <w:tc>
          <w:tcPr>
            <w:tcW w:w="10314" w:type="dxa"/>
            <w:gridSpan w:val="2"/>
          </w:tcPr>
          <w:p w:rsidR="00EB33BC" w:rsidRDefault="00EB33BC" w:rsidP="00AD6265">
            <w:pPr>
              <w:rPr>
                <w:b/>
              </w:rPr>
            </w:pPr>
            <w:r w:rsidRPr="00166F97">
              <w:rPr>
                <w:b/>
              </w:rPr>
              <w:t>Work address</w:t>
            </w:r>
          </w:p>
          <w:p w:rsidR="00EB33BC" w:rsidRDefault="00EB33BC" w:rsidP="00AD6265">
            <w:pPr>
              <w:rPr>
                <w:rFonts w:ascii="Arial" w:hAnsi="Arial" w:cs="Arial"/>
                <w:color w:val="000000"/>
                <w:kern w:val="28"/>
                <w:sz w:val="20"/>
                <w:szCs w:val="20"/>
              </w:rPr>
            </w:pPr>
          </w:p>
          <w:p w:rsidR="00EB33BC" w:rsidRPr="00166F97" w:rsidRDefault="00EB33BC" w:rsidP="00AD6265">
            <w:pPr>
              <w:rPr>
                <w:rFonts w:ascii="Arial" w:hAnsi="Arial" w:cs="Arial"/>
                <w:color w:val="000000"/>
                <w:kern w:val="28"/>
                <w:sz w:val="20"/>
                <w:szCs w:val="20"/>
              </w:rPr>
            </w:pPr>
          </w:p>
        </w:tc>
      </w:tr>
      <w:tr w:rsidR="00EB33BC" w:rsidRPr="00166F97" w:rsidTr="00EB33BC">
        <w:tc>
          <w:tcPr>
            <w:tcW w:w="4928" w:type="dxa"/>
            <w:tcBorders>
              <w:bottom w:val="single" w:sz="4" w:space="0" w:color="auto"/>
            </w:tcBorders>
          </w:tcPr>
          <w:p w:rsidR="00EB33BC" w:rsidRPr="00166F97" w:rsidRDefault="00EB33BC" w:rsidP="00AD6265">
            <w:pPr>
              <w:rPr>
                <w:rFonts w:ascii="Arial" w:hAnsi="Arial" w:cs="Arial"/>
                <w:color w:val="000000"/>
                <w:kern w:val="28"/>
                <w:sz w:val="20"/>
                <w:szCs w:val="20"/>
              </w:rPr>
            </w:pPr>
            <w:r w:rsidRPr="00166F97">
              <w:rPr>
                <w:b/>
              </w:rPr>
              <w:t>Email</w:t>
            </w:r>
          </w:p>
        </w:tc>
        <w:tc>
          <w:tcPr>
            <w:tcW w:w="5386" w:type="dxa"/>
            <w:tcBorders>
              <w:bottom w:val="single" w:sz="4" w:space="0" w:color="auto"/>
            </w:tcBorders>
          </w:tcPr>
          <w:p w:rsidR="00EB33BC" w:rsidRPr="00166F97" w:rsidRDefault="00EB33BC" w:rsidP="00AD6265">
            <w:pPr>
              <w:rPr>
                <w:rFonts w:ascii="Arial" w:hAnsi="Arial" w:cs="Arial"/>
                <w:color w:val="000000"/>
                <w:kern w:val="28"/>
                <w:sz w:val="20"/>
                <w:szCs w:val="20"/>
              </w:rPr>
            </w:pPr>
            <w:r w:rsidRPr="00166F97">
              <w:rPr>
                <w:b/>
              </w:rPr>
              <w:t>Telephone</w:t>
            </w:r>
          </w:p>
        </w:tc>
      </w:tr>
    </w:tbl>
    <w:p w:rsidR="00AD6265" w:rsidRDefault="00AD6265" w:rsidP="00145F7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260"/>
        <w:gridCol w:w="1701"/>
        <w:gridCol w:w="3685"/>
      </w:tblGrid>
      <w:tr w:rsidR="00EB33BC" w:rsidRPr="00166F97" w:rsidTr="00EB33BC">
        <w:tc>
          <w:tcPr>
            <w:tcW w:w="1668" w:type="dxa"/>
          </w:tcPr>
          <w:p w:rsidR="00EB33BC" w:rsidRPr="00166F97" w:rsidRDefault="00EB33BC" w:rsidP="00AD6265">
            <w:pPr>
              <w:spacing w:after="0" w:line="240" w:lineRule="auto"/>
              <w:rPr>
                <w:b/>
              </w:rPr>
            </w:pPr>
            <w:r w:rsidRPr="00166F97">
              <w:rPr>
                <w:b/>
              </w:rPr>
              <w:t>Professional</w:t>
            </w:r>
          </w:p>
          <w:p w:rsidR="00EB33BC" w:rsidRPr="00166F97" w:rsidRDefault="00EB33BC" w:rsidP="00AD6265">
            <w:pPr>
              <w:spacing w:after="0" w:line="240" w:lineRule="auto"/>
              <w:rPr>
                <w:b/>
              </w:rPr>
            </w:pPr>
            <w:r w:rsidRPr="00166F97">
              <w:rPr>
                <w:b/>
              </w:rPr>
              <w:t>Interests</w:t>
            </w:r>
          </w:p>
          <w:p w:rsidR="00EB33BC" w:rsidRPr="00166F97" w:rsidRDefault="00EB33BC" w:rsidP="00AD6265">
            <w:pPr>
              <w:spacing w:after="0" w:line="240" w:lineRule="auto"/>
              <w:rPr>
                <w:sz w:val="18"/>
                <w:szCs w:val="18"/>
              </w:rPr>
            </w:pPr>
            <w:r w:rsidRPr="00166F97">
              <w:rPr>
                <w:sz w:val="18"/>
                <w:szCs w:val="18"/>
              </w:rPr>
              <w:t>(e.g. education</w:t>
            </w:r>
            <w:r w:rsidR="00C44092">
              <w:rPr>
                <w:sz w:val="18"/>
                <w:szCs w:val="18"/>
              </w:rPr>
              <w:t>, patient safety</w:t>
            </w:r>
            <w:r w:rsidRPr="00166F97">
              <w:rPr>
                <w:sz w:val="18"/>
                <w:szCs w:val="18"/>
              </w:rPr>
              <w:t xml:space="preserve"> or research)</w:t>
            </w:r>
          </w:p>
        </w:tc>
        <w:tc>
          <w:tcPr>
            <w:tcW w:w="3260" w:type="dxa"/>
          </w:tcPr>
          <w:p w:rsidR="00EB33BC" w:rsidRPr="00166F97" w:rsidRDefault="00EB33BC" w:rsidP="00AD6265">
            <w:pPr>
              <w:rPr>
                <w:rFonts w:ascii="Arial" w:hAnsi="Arial" w:cs="Arial"/>
                <w:color w:val="000000"/>
                <w:kern w:val="28"/>
                <w:sz w:val="20"/>
                <w:szCs w:val="20"/>
              </w:rPr>
            </w:pPr>
          </w:p>
        </w:tc>
        <w:tc>
          <w:tcPr>
            <w:tcW w:w="1701" w:type="dxa"/>
          </w:tcPr>
          <w:p w:rsidR="00EB33BC" w:rsidRPr="00166F97" w:rsidRDefault="00EB33BC" w:rsidP="00AD6265">
            <w:pPr>
              <w:spacing w:after="0" w:line="240" w:lineRule="auto"/>
              <w:rPr>
                <w:b/>
              </w:rPr>
            </w:pPr>
            <w:r w:rsidRPr="00166F97">
              <w:rPr>
                <w:b/>
              </w:rPr>
              <w:t>Condition/Risk</w:t>
            </w:r>
          </w:p>
          <w:p w:rsidR="00EB33BC" w:rsidRPr="00166F97" w:rsidRDefault="00EB33BC" w:rsidP="00AD6265">
            <w:pPr>
              <w:spacing w:after="0" w:line="240" w:lineRule="auto"/>
              <w:rPr>
                <w:b/>
              </w:rPr>
            </w:pPr>
            <w:r w:rsidRPr="00166F97">
              <w:rPr>
                <w:b/>
              </w:rPr>
              <w:t>Factors</w:t>
            </w:r>
          </w:p>
          <w:p w:rsidR="00EB33BC" w:rsidRPr="00552B4C" w:rsidRDefault="00EB33BC" w:rsidP="00AD6265">
            <w:pPr>
              <w:spacing w:after="0" w:line="240" w:lineRule="auto"/>
            </w:pPr>
            <w:r w:rsidRPr="00552B4C">
              <w:t>e.g. gestational diabetes</w:t>
            </w:r>
          </w:p>
        </w:tc>
        <w:tc>
          <w:tcPr>
            <w:tcW w:w="3685" w:type="dxa"/>
          </w:tcPr>
          <w:p w:rsidR="00EB33BC" w:rsidRPr="00166F97" w:rsidRDefault="00EB33BC" w:rsidP="00AD6265">
            <w:pPr>
              <w:rPr>
                <w:rFonts w:ascii="Arial" w:hAnsi="Arial" w:cs="Arial"/>
                <w:color w:val="000000"/>
                <w:kern w:val="28"/>
                <w:sz w:val="20"/>
                <w:szCs w:val="20"/>
              </w:rPr>
            </w:pPr>
          </w:p>
        </w:tc>
      </w:tr>
      <w:tr w:rsidR="00EB33BC" w:rsidRPr="00166F97" w:rsidTr="00EB33BC">
        <w:tc>
          <w:tcPr>
            <w:tcW w:w="1668" w:type="dxa"/>
          </w:tcPr>
          <w:p w:rsidR="00EB33BC" w:rsidRPr="00166F97" w:rsidRDefault="00EB33BC" w:rsidP="00AD6265">
            <w:pPr>
              <w:spacing w:after="0" w:line="240" w:lineRule="auto"/>
              <w:rPr>
                <w:b/>
              </w:rPr>
            </w:pPr>
            <w:r w:rsidRPr="00166F97">
              <w:rPr>
                <w:b/>
              </w:rPr>
              <w:t>Age groups</w:t>
            </w:r>
          </w:p>
          <w:p w:rsidR="00EB33BC" w:rsidRPr="00552B4C" w:rsidRDefault="00EB33BC" w:rsidP="00AD6265">
            <w:pPr>
              <w:spacing w:after="0" w:line="240" w:lineRule="auto"/>
            </w:pPr>
            <w:r w:rsidRPr="00552B4C">
              <w:t>(please select)</w:t>
            </w:r>
          </w:p>
          <w:p w:rsidR="00EB33BC" w:rsidRPr="00552B4C" w:rsidRDefault="00EB33BC" w:rsidP="00AD6265">
            <w:pPr>
              <w:spacing w:after="0" w:line="240" w:lineRule="auto"/>
            </w:pPr>
          </w:p>
          <w:p w:rsidR="00EB33BC" w:rsidRPr="00552B4C" w:rsidRDefault="00EB33BC" w:rsidP="00AD6265">
            <w:pPr>
              <w:spacing w:after="0" w:line="240" w:lineRule="auto"/>
            </w:pPr>
          </w:p>
        </w:tc>
        <w:tc>
          <w:tcPr>
            <w:tcW w:w="3260" w:type="dxa"/>
          </w:tcPr>
          <w:p w:rsidR="00EB33BC" w:rsidRPr="00552B4C" w:rsidRDefault="00EB33BC" w:rsidP="00AD6265">
            <w:pPr>
              <w:spacing w:after="0" w:line="240" w:lineRule="auto"/>
            </w:pPr>
            <w:r w:rsidRPr="00552B4C">
              <w:t>Neonates</w:t>
            </w:r>
          </w:p>
          <w:p w:rsidR="00EB33BC" w:rsidRPr="00552B4C" w:rsidRDefault="00EB33BC" w:rsidP="00AD6265">
            <w:pPr>
              <w:spacing w:after="0" w:line="240" w:lineRule="auto"/>
            </w:pPr>
            <w:r w:rsidRPr="00552B4C">
              <w:t>Children &amp; adolescents</w:t>
            </w:r>
          </w:p>
          <w:p w:rsidR="00EB33BC" w:rsidRPr="00552B4C" w:rsidRDefault="00EB33BC" w:rsidP="00AD6265">
            <w:pPr>
              <w:spacing w:after="0" w:line="240" w:lineRule="auto"/>
            </w:pPr>
            <w:r w:rsidRPr="00552B4C">
              <w:t>Adults</w:t>
            </w:r>
          </w:p>
          <w:p w:rsidR="00EB33BC" w:rsidRPr="00552B4C" w:rsidRDefault="00EB33BC" w:rsidP="00AD6265">
            <w:pPr>
              <w:spacing w:after="0" w:line="240" w:lineRule="auto"/>
            </w:pPr>
            <w:r w:rsidRPr="00552B4C">
              <w:t>Elderly</w:t>
            </w:r>
          </w:p>
        </w:tc>
        <w:tc>
          <w:tcPr>
            <w:tcW w:w="1701" w:type="dxa"/>
          </w:tcPr>
          <w:p w:rsidR="00EB33BC" w:rsidRPr="00166F97" w:rsidRDefault="00EB33BC" w:rsidP="00AD6265">
            <w:pPr>
              <w:spacing w:after="0" w:line="240" w:lineRule="auto"/>
              <w:rPr>
                <w:b/>
              </w:rPr>
            </w:pPr>
            <w:r w:rsidRPr="00166F97">
              <w:rPr>
                <w:b/>
              </w:rPr>
              <w:t>Setting</w:t>
            </w:r>
          </w:p>
          <w:p w:rsidR="00EB33BC" w:rsidRPr="00552B4C" w:rsidRDefault="00EB33BC" w:rsidP="00AD6265">
            <w:pPr>
              <w:spacing w:after="0" w:line="240" w:lineRule="auto"/>
            </w:pPr>
            <w:r w:rsidRPr="00552B4C">
              <w:t>(e.g.GP Surgery or hospital ward)</w:t>
            </w:r>
          </w:p>
        </w:tc>
        <w:tc>
          <w:tcPr>
            <w:tcW w:w="3685" w:type="dxa"/>
          </w:tcPr>
          <w:p w:rsidR="00EB33BC" w:rsidRPr="00166F97" w:rsidRDefault="00EB33BC" w:rsidP="00AD6265">
            <w:pPr>
              <w:rPr>
                <w:rFonts w:ascii="Arial" w:hAnsi="Arial" w:cs="Arial"/>
                <w:color w:val="000000"/>
                <w:kern w:val="28"/>
                <w:sz w:val="20"/>
                <w:szCs w:val="20"/>
              </w:rPr>
            </w:pPr>
          </w:p>
        </w:tc>
      </w:tr>
      <w:tr w:rsidR="00EB33BC" w:rsidRPr="00166F97" w:rsidTr="00EB33BC">
        <w:tc>
          <w:tcPr>
            <w:tcW w:w="1668" w:type="dxa"/>
          </w:tcPr>
          <w:p w:rsidR="00EB33BC" w:rsidRPr="00166F97" w:rsidRDefault="00EB33BC" w:rsidP="00AD6265">
            <w:pPr>
              <w:spacing w:after="0" w:line="240" w:lineRule="auto"/>
              <w:rPr>
                <w:b/>
              </w:rPr>
            </w:pPr>
            <w:r w:rsidRPr="00166F97">
              <w:rPr>
                <w:b/>
              </w:rPr>
              <w:t xml:space="preserve">Other </w:t>
            </w:r>
          </w:p>
          <w:p w:rsidR="00EB33BC" w:rsidRPr="00166F97" w:rsidRDefault="00EB33BC" w:rsidP="00AD6265">
            <w:pPr>
              <w:spacing w:after="0" w:line="240" w:lineRule="auto"/>
              <w:rPr>
                <w:b/>
              </w:rPr>
            </w:pPr>
          </w:p>
        </w:tc>
        <w:tc>
          <w:tcPr>
            <w:tcW w:w="8646" w:type="dxa"/>
            <w:gridSpan w:val="3"/>
          </w:tcPr>
          <w:p w:rsidR="00EB33BC" w:rsidRPr="00166F97" w:rsidRDefault="00EB33BC" w:rsidP="00AD6265">
            <w:pPr>
              <w:rPr>
                <w:rFonts w:ascii="Arial" w:hAnsi="Arial" w:cs="Arial"/>
                <w:color w:val="000000"/>
                <w:kern w:val="28"/>
                <w:sz w:val="20"/>
                <w:szCs w:val="20"/>
              </w:rPr>
            </w:pPr>
          </w:p>
        </w:tc>
      </w:tr>
    </w:tbl>
    <w:p w:rsidR="002614D2" w:rsidRDefault="00432687" w:rsidP="00EB33BC">
      <w:pPr>
        <w:ind w:right="-449"/>
      </w:pPr>
      <w:r>
        <w:t xml:space="preserve">KnowledgeShare contains summarised evidence: you </w:t>
      </w:r>
      <w:r w:rsidRPr="007C05C6">
        <w:t xml:space="preserve">will </w:t>
      </w:r>
      <w:r w:rsidRPr="00432687">
        <w:rPr>
          <w:u w:val="single"/>
        </w:rPr>
        <w:t>not</w:t>
      </w:r>
      <w:r>
        <w:t xml:space="preserve"> be inundated with primary research article.</w:t>
      </w:r>
    </w:p>
    <w:p w:rsidR="00EB33BC" w:rsidRDefault="00860E34" w:rsidP="00EB33BC">
      <w:pPr>
        <w:spacing w:after="240"/>
      </w:pPr>
      <w:r>
        <w:rPr>
          <w:noProof/>
          <w:lang w:eastAsia="en-GB"/>
        </w:rPr>
        <w:pict>
          <v:shape id="_x0000_s1028" type="#_x0000_t202" style="position:absolute;margin-left:98.25pt;margin-top:15.55pt;width:21.25pt;height:21.25pt;z-index:251661312">
            <v:textbox>
              <w:txbxContent>
                <w:p w:rsidR="00AD6265" w:rsidRDefault="00AD6265"/>
              </w:txbxContent>
            </v:textbox>
          </v:shape>
        </w:pict>
      </w:r>
      <w:r w:rsidR="00EB33BC">
        <w:t>May we make your contact details and interests visible to all members of KnowledgeShare in order to promote knowledge sharing?</w:t>
      </w:r>
      <w:r w:rsidR="00AD6265">
        <w:t xml:space="preserve">  </w:t>
      </w:r>
      <w:r w:rsidR="00EB33BC">
        <w:tab/>
      </w:r>
    </w:p>
    <w:p w:rsidR="00EB33BC" w:rsidRDefault="00860E34" w:rsidP="00EB33BC">
      <w:pPr>
        <w:spacing w:before="120" w:after="120"/>
      </w:pPr>
      <w:r>
        <w:rPr>
          <w:noProof/>
          <w:lang w:eastAsia="en-GB"/>
        </w:rPr>
        <w:pict>
          <v:shape id="_x0000_s1030" type="#_x0000_t202" style="position:absolute;margin-left:294.75pt;margin-top:19.3pt;width:21.25pt;height:21.25pt;z-index:251663360;mso-position-vertical:absolute">
            <v:textbox>
              <w:txbxContent>
                <w:p w:rsidR="00AD6265" w:rsidRDefault="00AD6265"/>
              </w:txbxContent>
            </v:textbox>
          </v:shape>
        </w:pict>
      </w:r>
      <w:r>
        <w:rPr>
          <w:noProof/>
          <w:lang w:eastAsia="en-GB"/>
        </w:rPr>
        <w:pict>
          <v:shape id="_x0000_s1029" type="#_x0000_t202" style="position:absolute;margin-left:168.75pt;margin-top:19.3pt;width:21.25pt;height:21.25pt;z-index:251662336;mso-position-vertical:absolute">
            <v:textbox>
              <w:txbxContent>
                <w:p w:rsidR="00AD6265" w:rsidRDefault="00AD6265"/>
              </w:txbxContent>
            </v:textbox>
          </v:shape>
        </w:pict>
      </w:r>
      <w:r w:rsidR="00EB33BC">
        <w:t>Or would you prefer this information only to    be visible to:</w:t>
      </w:r>
    </w:p>
    <w:p w:rsidR="00432687" w:rsidRDefault="00EB33BC" w:rsidP="00EB33BC">
      <w:pPr>
        <w:spacing w:before="120" w:after="120"/>
      </w:pPr>
      <w:r>
        <w:t>Other members in your organisation</w:t>
      </w:r>
      <w:r>
        <w:tab/>
      </w:r>
      <w:r>
        <w:tab/>
        <w:t xml:space="preserve">only library staff </w:t>
      </w:r>
    </w:p>
    <w:p w:rsidR="00EB33BC" w:rsidRPr="00432687" w:rsidRDefault="00432687" w:rsidP="00EB33BC">
      <w:pPr>
        <w:spacing w:before="120" w:after="120"/>
        <w:rPr>
          <w:b/>
          <w:color w:val="76923C" w:themeColor="accent3" w:themeShade="BF"/>
        </w:rPr>
      </w:pPr>
      <w:r w:rsidRPr="00AD6265">
        <w:rPr>
          <w:b/>
          <w:color w:val="76923C" w:themeColor="accent3" w:themeShade="BF"/>
        </w:rPr>
        <w:t>*KnowledgeShare is restricted to staff &amp;students with an NHS Open Athens</w:t>
      </w:r>
      <w:r w:rsidRPr="00432687">
        <w:rPr>
          <w:b/>
          <w:color w:val="76923C" w:themeColor="accent3" w:themeShade="BF"/>
        </w:rPr>
        <w:t xml:space="preserve"> account</w:t>
      </w:r>
      <w:r w:rsidR="00EB33BC" w:rsidRPr="00432687">
        <w:rPr>
          <w:b/>
          <w:color w:val="76923C" w:themeColor="accent3" w:themeShade="BF"/>
        </w:rPr>
        <w:tab/>
      </w:r>
    </w:p>
    <w:p w:rsidR="00EB33BC" w:rsidRDefault="00EB33BC" w:rsidP="00EB33BC">
      <w:pPr>
        <w:rPr>
          <w:rFonts w:ascii="Arial" w:hAnsi="Arial" w:cs="Arial"/>
          <w:b/>
          <w:bCs/>
          <w:color w:val="000000"/>
          <w:kern w:val="28"/>
          <w:sz w:val="18"/>
          <w:szCs w:val="18"/>
        </w:rPr>
      </w:pPr>
      <w:r>
        <w:rPr>
          <w:rFonts w:ascii="Arial" w:hAnsi="Arial" w:cs="Arial"/>
          <w:b/>
          <w:bCs/>
          <w:color w:val="000000"/>
          <w:kern w:val="28"/>
          <w:sz w:val="18"/>
          <w:szCs w:val="18"/>
        </w:rPr>
        <w:t xml:space="preserve">I understand and agree to my data being held in accordance with the </w:t>
      </w:r>
      <w:r w:rsidR="00D94139">
        <w:rPr>
          <w:rFonts w:ascii="Arial" w:hAnsi="Arial" w:cs="Arial"/>
          <w:b/>
          <w:bCs/>
          <w:color w:val="000000"/>
          <w:kern w:val="28"/>
          <w:sz w:val="18"/>
          <w:szCs w:val="18"/>
        </w:rPr>
        <w:t>UK General Data Protection Regulations (2018)</w:t>
      </w:r>
      <w:r>
        <w:rPr>
          <w:rFonts w:ascii="Arial" w:hAnsi="Arial" w:cs="Arial"/>
          <w:b/>
          <w:bCs/>
          <w:color w:val="000000"/>
          <w:kern w:val="28"/>
          <w:sz w:val="18"/>
          <w:szCs w:val="18"/>
        </w:rPr>
        <w:t xml:space="preserve"> on the East of England Libraries Information Management System and </w:t>
      </w:r>
      <w:proofErr w:type="spellStart"/>
      <w:r>
        <w:rPr>
          <w:rFonts w:ascii="Arial" w:hAnsi="Arial" w:cs="Arial"/>
          <w:b/>
          <w:bCs/>
          <w:color w:val="000000"/>
          <w:kern w:val="28"/>
          <w:sz w:val="18"/>
          <w:szCs w:val="18"/>
        </w:rPr>
        <w:t>KnowledgeShare</w:t>
      </w:r>
      <w:proofErr w:type="spellEnd"/>
      <w:r w:rsidR="00D94139">
        <w:rPr>
          <w:rFonts w:ascii="Arial" w:hAnsi="Arial" w:cs="Arial"/>
          <w:b/>
          <w:bCs/>
          <w:color w:val="000000"/>
          <w:kern w:val="28"/>
          <w:sz w:val="18"/>
          <w:szCs w:val="18"/>
        </w:rPr>
        <w:t xml:space="preserve"> (hosted by Brighton and Sussex University Hospitals NHS Trust)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685"/>
        <w:gridCol w:w="1276"/>
        <w:gridCol w:w="2551"/>
      </w:tblGrid>
      <w:tr w:rsidR="00EB33BC" w:rsidRPr="00552B4C" w:rsidTr="00AD6265">
        <w:tc>
          <w:tcPr>
            <w:tcW w:w="1668" w:type="dxa"/>
          </w:tcPr>
          <w:p w:rsidR="00EB33BC" w:rsidRPr="00552B4C" w:rsidRDefault="00EB33BC" w:rsidP="00AD6265">
            <w:pPr>
              <w:spacing w:after="0" w:line="240" w:lineRule="auto"/>
            </w:pPr>
            <w:r w:rsidRPr="00552B4C">
              <w:t>Signature</w:t>
            </w:r>
          </w:p>
        </w:tc>
        <w:tc>
          <w:tcPr>
            <w:tcW w:w="3685" w:type="dxa"/>
          </w:tcPr>
          <w:p w:rsidR="00EB33BC" w:rsidRPr="00552B4C" w:rsidRDefault="00EB33BC" w:rsidP="00AD6265">
            <w:pPr>
              <w:spacing w:after="0" w:line="240" w:lineRule="auto"/>
            </w:pPr>
          </w:p>
          <w:p w:rsidR="00EB33BC" w:rsidRPr="00552B4C" w:rsidRDefault="00EB33BC" w:rsidP="00AD6265">
            <w:pPr>
              <w:spacing w:after="0" w:line="240" w:lineRule="auto"/>
            </w:pPr>
          </w:p>
        </w:tc>
        <w:tc>
          <w:tcPr>
            <w:tcW w:w="1276" w:type="dxa"/>
          </w:tcPr>
          <w:p w:rsidR="00EB33BC" w:rsidRPr="00552B4C" w:rsidRDefault="00EB33BC" w:rsidP="00AD6265">
            <w:pPr>
              <w:spacing w:after="0" w:line="240" w:lineRule="auto"/>
            </w:pPr>
            <w:r w:rsidRPr="00552B4C">
              <w:t>Date</w:t>
            </w:r>
          </w:p>
        </w:tc>
        <w:tc>
          <w:tcPr>
            <w:tcW w:w="2551" w:type="dxa"/>
          </w:tcPr>
          <w:p w:rsidR="00EB33BC" w:rsidRPr="00552B4C" w:rsidRDefault="00EB33BC" w:rsidP="00AD6265">
            <w:pPr>
              <w:spacing w:after="0" w:line="240" w:lineRule="auto"/>
            </w:pPr>
          </w:p>
        </w:tc>
      </w:tr>
    </w:tbl>
    <w:p w:rsidR="00EB33BC" w:rsidRDefault="00EB33BC" w:rsidP="00145F7D"/>
    <w:sectPr w:rsidR="00EB33BC" w:rsidSect="005F4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14D2"/>
    <w:rsid w:val="00145F7D"/>
    <w:rsid w:val="002505D7"/>
    <w:rsid w:val="002614D2"/>
    <w:rsid w:val="00271CAD"/>
    <w:rsid w:val="00432687"/>
    <w:rsid w:val="004F2F75"/>
    <w:rsid w:val="005F4730"/>
    <w:rsid w:val="00607EE2"/>
    <w:rsid w:val="007C05C6"/>
    <w:rsid w:val="00860E34"/>
    <w:rsid w:val="008E1C2A"/>
    <w:rsid w:val="00AD6265"/>
    <w:rsid w:val="00AE69ED"/>
    <w:rsid w:val="00BD3F53"/>
    <w:rsid w:val="00C44092"/>
    <w:rsid w:val="00D94139"/>
    <w:rsid w:val="00E32FC2"/>
    <w:rsid w:val="00E64A30"/>
    <w:rsid w:val="00EB33BC"/>
    <w:rsid w:val="00F070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D2"/>
    <w:rPr>
      <w:rFonts w:ascii="Tahoma" w:hAnsi="Tahoma" w:cs="Tahoma"/>
      <w:sz w:val="16"/>
      <w:szCs w:val="16"/>
    </w:rPr>
  </w:style>
  <w:style w:type="paragraph" w:styleId="NoSpacing">
    <w:name w:val="No Spacing"/>
    <w:uiPriority w:val="1"/>
    <w:qFormat/>
    <w:rsid w:val="00BD3F5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D3F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l.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2B72A-8866-4F3B-94C9-696F30A9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Hertfordshire Hospitals NHS Trust</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taylorl</dc:creator>
  <cp:lastModifiedBy>reynoldsj</cp:lastModifiedBy>
  <cp:revision>2</cp:revision>
  <cp:lastPrinted>2016-03-24T13:25:00Z</cp:lastPrinted>
  <dcterms:created xsi:type="dcterms:W3CDTF">2018-04-04T10:34:00Z</dcterms:created>
  <dcterms:modified xsi:type="dcterms:W3CDTF">2018-04-04T10:34:00Z</dcterms:modified>
</cp:coreProperties>
</file>